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1AD80CF6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ED70C5">
        <w:rPr>
          <w:rFonts w:cs="Arial"/>
          <w:bCs/>
          <w:sz w:val="22"/>
          <w:lang w:val="en-US" w:eastAsia="ko-KR"/>
        </w:rPr>
        <w:t>7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6C475E" w:rsidRPr="006C475E">
        <w:rPr>
          <w:rFonts w:cs="Arial"/>
          <w:bCs/>
          <w:sz w:val="22"/>
          <w:lang w:val="en-US" w:eastAsia="ko-KR"/>
        </w:rPr>
        <w:t>S3-220683</w:t>
      </w:r>
    </w:p>
    <w:p w14:paraId="67EB8152" w14:textId="33C69978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ED70C5">
        <w:rPr>
          <w:rFonts w:cs="Arial"/>
          <w:sz w:val="22"/>
          <w:szCs w:val="22"/>
          <w:lang w:val="en-US" w:eastAsia="ko-KR"/>
        </w:rPr>
        <w:t>6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0256A8">
        <w:rPr>
          <w:rFonts w:cs="Arial"/>
          <w:sz w:val="22"/>
          <w:szCs w:val="22"/>
          <w:lang w:val="en-US" w:eastAsia="ko-KR"/>
        </w:rPr>
        <w:t>2</w:t>
      </w:r>
      <w:r w:rsidR="00ED70C5">
        <w:rPr>
          <w:rFonts w:cs="Arial"/>
          <w:sz w:val="22"/>
          <w:szCs w:val="22"/>
          <w:lang w:val="en-US" w:eastAsia="ko-KR"/>
        </w:rPr>
        <w:t>0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ED70C5">
        <w:rPr>
          <w:rFonts w:cs="Arial"/>
          <w:sz w:val="22"/>
          <w:szCs w:val="22"/>
          <w:lang w:val="en-US" w:eastAsia="ko-KR"/>
        </w:rPr>
        <w:t>May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652EF3">
        <w:rPr>
          <w:rFonts w:cs="Arial"/>
          <w:sz w:val="22"/>
          <w:szCs w:val="22"/>
          <w:lang w:val="en-US" w:eastAsia="ko-KR"/>
        </w:rPr>
        <w:t>2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991A08">
        <w:rPr>
          <w:rFonts w:cs="Arial"/>
          <w:sz w:val="22"/>
          <w:szCs w:val="22"/>
          <w:lang w:val="en-US" w:eastAsia="ko-KR"/>
        </w:rPr>
        <w:t xml:space="preserve">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2D271DBA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ED70C5">
        <w:rPr>
          <w:rFonts w:ascii="Arial" w:eastAsia="MS Mincho" w:hAnsi="Arial"/>
          <w:i/>
          <w:lang w:eastAsia="ja-JP"/>
        </w:rPr>
        <w:t>May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652EF3">
        <w:rPr>
          <w:rFonts w:ascii="Arial" w:eastAsia="MS Mincho" w:hAnsi="Arial"/>
          <w:i/>
          <w:lang w:eastAsia="ja-JP"/>
        </w:rPr>
        <w:t>2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51D0CA90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ED70C5">
        <w:t>6</w:t>
      </w:r>
      <w:r w:rsidR="00A94222">
        <w:t>-e</w:t>
      </w:r>
      <w:r w:rsidR="00A10BDD">
        <w:t>)</w:t>
      </w:r>
      <w:bookmarkStart w:id="0" w:name="_Toc346872290"/>
    </w:p>
    <w:p w14:paraId="12A54D77" w14:textId="77777777" w:rsidR="002C34FC" w:rsidRPr="002C34FC" w:rsidRDefault="002C34FC" w:rsidP="002C34FC">
      <w:pPr>
        <w:pStyle w:val="ListParagraph"/>
        <w:numPr>
          <w:ilvl w:val="0"/>
          <w:numId w:val="43"/>
        </w:numPr>
        <w:rPr>
          <w:lang w:val="en-US"/>
        </w:rPr>
      </w:pPr>
      <w:r w:rsidRPr="002C34FC">
        <w:rPr>
          <w:lang w:val="en-US"/>
        </w:rPr>
        <w:t>TCG Cyber Resilient Module &amp; Building Block Requirements – public review March 2022</w:t>
      </w:r>
    </w:p>
    <w:p w14:paraId="6A9991D0" w14:textId="5B97679F" w:rsidR="002C34FC" w:rsidRPr="002C34FC" w:rsidRDefault="002C34FC" w:rsidP="002C34FC">
      <w:pPr>
        <w:pStyle w:val="ListParagraph"/>
        <w:numPr>
          <w:ilvl w:val="0"/>
          <w:numId w:val="43"/>
        </w:numPr>
        <w:rPr>
          <w:lang w:val="en-US"/>
        </w:rPr>
      </w:pPr>
      <w:r w:rsidRPr="002C34FC">
        <w:rPr>
          <w:lang w:val="en-US"/>
        </w:rPr>
        <w:t>TCG Canonical Event Log Format – published February 2022</w:t>
      </w:r>
    </w:p>
    <w:p w14:paraId="207BD29F" w14:textId="068F5FDE" w:rsidR="002C34FC" w:rsidRPr="002C34FC" w:rsidRDefault="002C34FC" w:rsidP="002C34FC">
      <w:pPr>
        <w:pStyle w:val="ListParagraph"/>
        <w:numPr>
          <w:ilvl w:val="0"/>
          <w:numId w:val="43"/>
        </w:numPr>
        <w:rPr>
          <w:lang w:val="en-US"/>
        </w:rPr>
      </w:pPr>
      <w:r w:rsidRPr="002C34FC">
        <w:rPr>
          <w:lang w:val="en-US"/>
        </w:rPr>
        <w:t>TCG Guidance for Securing Industrial Control Systems – published January 2022</w:t>
      </w:r>
    </w:p>
    <w:p w14:paraId="494BF37B" w14:textId="5CF0932B" w:rsidR="002C34FC" w:rsidRPr="002C34FC" w:rsidRDefault="002C34FC" w:rsidP="002C34FC">
      <w:pPr>
        <w:pStyle w:val="ListParagraph"/>
        <w:numPr>
          <w:ilvl w:val="0"/>
          <w:numId w:val="43"/>
        </w:numPr>
        <w:rPr>
          <w:lang w:val="en-US"/>
        </w:rPr>
      </w:pPr>
      <w:r w:rsidRPr="002C34FC">
        <w:rPr>
          <w:lang w:val="en-US"/>
        </w:rPr>
        <w:t>TCG SNMP MIB for TPM-Based Attestation – published January 2022</w:t>
      </w:r>
    </w:p>
    <w:p w14:paraId="52B83910" w14:textId="166AFD08" w:rsidR="002C34FC" w:rsidRPr="002C34FC" w:rsidRDefault="002C34FC" w:rsidP="002C34FC">
      <w:pPr>
        <w:pStyle w:val="ListParagraph"/>
        <w:numPr>
          <w:ilvl w:val="0"/>
          <w:numId w:val="43"/>
        </w:numPr>
        <w:rPr>
          <w:lang w:val="en-US"/>
        </w:rPr>
      </w:pPr>
      <w:r w:rsidRPr="002C34FC">
        <w:rPr>
          <w:lang w:val="en-US"/>
        </w:rPr>
        <w:t>TCG Measurement and Attestation RootS Library – public review January 2022</w:t>
      </w:r>
    </w:p>
    <w:p w14:paraId="125BFE40" w14:textId="47153628" w:rsidR="00516124" w:rsidRPr="00516124" w:rsidRDefault="00516124" w:rsidP="00690D41">
      <w:pPr>
        <w:pStyle w:val="ListParagraph"/>
        <w:ind w:left="990"/>
        <w:rPr>
          <w:lang w:val="en-US"/>
        </w:rPr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7BB1BFAA" w14:textId="1EDEE69A" w:rsidR="002C34FC" w:rsidRDefault="002C34FC" w:rsidP="002C34FC">
      <w:pPr>
        <w:pStyle w:val="ListParagraph"/>
        <w:numPr>
          <w:ilvl w:val="0"/>
          <w:numId w:val="30"/>
        </w:numPr>
      </w:pPr>
      <w:r>
        <w:t>TCG Members Meeting F2F (Chevy Chase, MD</w:t>
      </w:r>
      <w:r w:rsidR="00C06010">
        <w:t>, USA</w:t>
      </w:r>
      <w:r>
        <w:t>) – 18-22 July 2022</w:t>
      </w:r>
    </w:p>
    <w:p w14:paraId="015C1720" w14:textId="39F4EF47" w:rsidR="00690D41" w:rsidRPr="002C34FC" w:rsidRDefault="002C34FC" w:rsidP="002C34FC">
      <w:pPr>
        <w:pStyle w:val="ListParagraph"/>
        <w:numPr>
          <w:ilvl w:val="0"/>
          <w:numId w:val="30"/>
        </w:numPr>
      </w:pPr>
      <w:r w:rsidRPr="002C34FC">
        <w:t>TCG Members Meeting F2F (</w:t>
      </w:r>
      <w:r w:rsidR="00B67CFB" w:rsidRPr="00B67CFB">
        <w:t>New</w:t>
      </w:r>
      <w:r w:rsidR="00B67CFB">
        <w:t xml:space="preserve"> </w:t>
      </w:r>
      <w:r w:rsidR="00B67CFB" w:rsidRPr="00B67CFB">
        <w:t>Orleans, LA</w:t>
      </w:r>
      <w:r w:rsidR="00C06010">
        <w:t>, USA</w:t>
      </w:r>
      <w:r w:rsidRPr="002C34FC">
        <w:t>) – 24-28 October 2022</w:t>
      </w:r>
    </w:p>
    <w:p w14:paraId="1778E002" w14:textId="02F1627D" w:rsidR="00A94222" w:rsidRPr="002C34FC" w:rsidRDefault="00A94222" w:rsidP="00690D41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184B28B7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ED70C5">
        <w:rPr>
          <w:rFonts w:cs="Arial"/>
          <w:color w:val="000000"/>
          <w:shd w:val="clear" w:color="auto" w:fill="FFFFFF"/>
        </w:rPr>
        <w:t>7</w:t>
      </w:r>
      <w:r w:rsidR="00A94222">
        <w:rPr>
          <w:rFonts w:cs="Arial"/>
          <w:color w:val="000000"/>
          <w:shd w:val="clear" w:color="auto" w:fill="FFFFFF"/>
        </w:rPr>
        <w:t>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q8FAEiA09g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1612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192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5a888943-97ca-4c93-b605-714bb5e9e2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2022-05-08T16:25:00Z</dcterms:created>
  <dcterms:modified xsi:type="dcterms:W3CDTF">2022-05-08T16:25:00Z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